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АНАЛІЗ РЕГУЛЯТОРНОГО ВПЛИВУ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проекту рішення </w:t>
      </w:r>
      <w:r w:rsidR="00C27D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 w:rsidR="00F91E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</w:t>
      </w:r>
    </w:p>
    <w:p w:rsidR="00DC4175" w:rsidRPr="00C27D9F" w:rsidRDefault="00DC4175" w:rsidP="00C27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встановлення </w:t>
      </w:r>
      <w:r w:rsidR="00C27D9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ставок 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єдиного податку</w:t>
      </w:r>
      <w:r w:rsidR="00C27D9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для фізичних осіб-підприємців на 2019 рік на території Кам’янсько-Дніпров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ської </w:t>
      </w:r>
      <w:r w:rsidR="00C27D9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міської 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об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>’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єднаної</w:t>
      </w:r>
      <w:r w:rsidR="00C27D9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</w:t>
      </w:r>
      <w:r w:rsidR="00C27D9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риторіальної громади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97974" w:rsidRPr="00C27D9F" w:rsidRDefault="00697974" w:rsidP="0069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97974" w:rsidRDefault="00697974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eastAsia="uk-UA"/>
        </w:rPr>
        <w:t>Регуляторний орган:</w:t>
      </w:r>
      <w:r w:rsidR="00C27D9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="00C27D9F">
        <w:rPr>
          <w:rFonts w:ascii="Times New Roman" w:hAnsi="Times New Roman" w:cs="Times New Roman"/>
          <w:sz w:val="24"/>
          <w:szCs w:val="24"/>
          <w:lang w:eastAsia="uk-UA"/>
        </w:rPr>
        <w:t xml:space="preserve">ська міська рада 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Розробник проекту рішення: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 економічного розвитку, інфраструктури та інвестицій  виконавчого комітету Кам’янсько-Дніпровської міської ради 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C27D9F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Розробник аналізу регуляторного впливу: 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>відділ економічного розвитку, інфраструктури та інвестицій  виконавчого комітету Кам’янсько-Дніпровської міської ради Кам’янсько-Дніпров</w:t>
      </w:r>
      <w:r w:rsidR="00C27D9F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C27D9F" w:rsidRPr="000246DA" w:rsidRDefault="00697974" w:rsidP="00C27D9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Відповідальна особа: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начальник відділу економічного розвитку, інфраструктури та інвестицій  виконавчого комітету Кам’янсько-Дніпровської міської ради Кам’янсько-Дніпров</w:t>
      </w:r>
      <w:r w:rsidR="00C27D9F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97974" w:rsidRPr="006861B7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861B7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Контактний телефон:</w:t>
      </w:r>
      <w:r w:rsidR="00C27D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(06138) 23473</w:t>
      </w:r>
    </w:p>
    <w:p w:rsidR="00697974" w:rsidRDefault="00697974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974" w:rsidRDefault="00697974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175" w:rsidRDefault="00075320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проблеми</w:t>
      </w:r>
    </w:p>
    <w:p w:rsidR="00697974" w:rsidRPr="00697974" w:rsidRDefault="00697974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зі статтею 10 та пунктом 12.3 статті 12 Податко</w:t>
      </w:r>
      <w:r w:rsidR="007F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кодексу України законодав</w:t>
      </w:r>
      <w:r w:rsidR="007F04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ством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закріплено право органів місцевого самоврядування встановлювати місцеві податки та збори в межах своїх повноважень.</w:t>
      </w:r>
    </w:p>
    <w:p w:rsidR="00DC4175" w:rsidRPr="00697974" w:rsidRDefault="00DC4175" w:rsidP="00DC41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Податковим кодексом України визначено, що органи місцевого самоврядування приймають рішення про встановлення місцевих податків та зборів та офіційно оприлюднюють до 15 липня року, що передує бюджетному періоду, в якому планується 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 застосування, а саме: подат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нерухоме майно, відмінне від земельної ділянки, транспортний податок, плата за землю, єдин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туристичн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зб</w:t>
      </w:r>
      <w:r w:rsidR="007D57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збір за місця для паркування транспортних засобів.</w:t>
      </w:r>
    </w:p>
    <w:p w:rsidR="00DC4175" w:rsidRPr="00697974" w:rsidRDefault="00DC4175" w:rsidP="006979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 до пункту 12.3.5 статті 12 Податкового кодексу України, якщо міська рада </w:t>
      </w:r>
      <w:hyperlink r:id="rId6" w:tgtFrame="_top" w:history="1">
        <w:r w:rsidRPr="00697974">
          <w:rPr>
            <w:rFonts w:ascii="Times New Roman" w:eastAsia="Times New Roman" w:hAnsi="Times New Roman" w:cs="Times New Roman"/>
            <w:color w:val="000000" w:themeColor="text1"/>
            <w:spacing w:val="15"/>
            <w:sz w:val="24"/>
            <w:szCs w:val="24"/>
            <w:lang w:eastAsia="ru-RU"/>
          </w:rPr>
          <w:t>не прийняла рішення про встановлення відповідних місцевих податків і зборів, що є обов'язковими згідно з нормами Податкового кодексу України, такі податки до прийняття рішення справляються виходячи з норм Податкового кодексу із застосуванням їх мінімальних ставок.</w:t>
        </w:r>
      </w:hyperlink>
    </w:p>
    <w:p w:rsidR="00DC4175" w:rsidRPr="00697974" w:rsidRDefault="00DC4175" w:rsidP="0069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Аналіз регуляторного впливу проекту рішення </w:t>
      </w:r>
      <w:r w:rsidR="00190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Кам’янсько-Дніпров</w:t>
      </w:r>
      <w:r w:rsidR="00697974"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ської</w:t>
      </w: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ради «</w:t>
      </w:r>
      <w:r w:rsidR="00697974" w:rsidRPr="00697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встановлення </w:t>
      </w:r>
      <w:r w:rsidR="00190DB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050204" w:rsidRPr="00050204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ставок єдиного податку для фізичних осіб-підприємців на 2019 рік на території Кам’янсько-Дніпровської міської об</w:t>
      </w:r>
      <w:r w:rsidR="00050204" w:rsidRPr="00050204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="00050204" w:rsidRPr="00050204">
        <w:rPr>
          <w:rFonts w:ascii="Times New Roman" w:hAnsi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 w:rsidRPr="00050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</w:t>
      </w: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підготовлено відповідно до вимог Закону України від 11.03.2003 року №1160-</w:t>
      </w: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</w:t>
      </w: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«Про засади державної регуляторної політики у сфері господарської діяльності», Методики проведення аналізу впливу регуляторного акту, затвердженої постановою Кабінету Міністрів України від 11.03.2004 року №</w:t>
      </w:r>
      <w:r w:rsidR="00050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97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308 із змінами.</w:t>
      </w:r>
    </w:p>
    <w:p w:rsidR="00DC4175" w:rsidRPr="00697974" w:rsidRDefault="00DC4175" w:rsidP="0069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Виходячи з вищевикладеного, з метою безумовного виконання Податкового кодексу України, недопущення суперечл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ивих ситуацій, забезпечення доходної частини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</w:t>
      </w:r>
      <w:r w:rsidR="009508E7" w:rsidRP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виконання програм соціально-економічного розвитку пропонується прийняти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міської ради «</w:t>
      </w:r>
      <w:r w:rsidR="00697974" w:rsidRPr="006979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встановлення </w:t>
      </w:r>
      <w:r w:rsidR="00050204" w:rsidRPr="00050204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ставок єдиного податку для фізичних осіб-підприємців на 2019 рік на території Кам’янсько-Дніпровської міської об’єднаної територіальної громади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 рішен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з даного питання необхідне для прозорого та ефективного встановлення ставок єдиного податку, здійснення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необхідного контролю за своєчасністю та повнотою проведення платежів. У зв’язку з потребою встановлення єдиного податку  керуючись Податковим кодексом, для ви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значення надходжень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виникла необхідність у розробці проекту даного рішення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забе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зпечення надходжень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регламентування відносин щодо сплати даного податку платниками (фізичними та юридичними особами), які знаходяться на території 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 w:rsid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6"/>
        <w:gridCol w:w="2758"/>
        <w:gridCol w:w="2464"/>
      </w:tblGrid>
      <w:tr w:rsidR="00DC4175" w:rsidRPr="00697974" w:rsidTr="00697974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DC4175" w:rsidRPr="00697974" w:rsidTr="00697974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3813F7" w:rsidRDefault="003813F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75" w:rsidRPr="00697974" w:rsidTr="00697974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3813F7" w:rsidRDefault="003813F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75" w:rsidRPr="00697974" w:rsidTr="00697974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Суб'єкти господарювання,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3813F7" w:rsidRDefault="003813F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75" w:rsidRPr="00697974" w:rsidTr="00697974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тому числі суб'єкти малого підприємництва*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3813F7" w:rsidRDefault="003813F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97974" w:rsidRDefault="00697974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175" w:rsidRPr="00697974" w:rsidRDefault="00DC4175" w:rsidP="006979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чинного законодавства повноваження щодо встановлення місцевих податків є виключно компетенцією органів місцевого самоврядування. Застосування процедури не має альтернатив, проблема встановлення єдиного податку не може бути розв’язана за допомогою ринкових механізмів.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075320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.Цілі державного регулювання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DC4175" w:rsidP="006979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регуляторного акта спрямований на </w:t>
      </w:r>
      <w:r w:rsidR="002E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 проблеми, визначеної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попередньому розділі 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аналізу регуляторного впливу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цілому,</w:t>
      </w:r>
      <w:r w:rsidR="003813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цілями його прийняття є:</w:t>
      </w:r>
    </w:p>
    <w:p w:rsidR="00697974" w:rsidRPr="00557299" w:rsidRDefault="00697974" w:rsidP="006979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99">
        <w:rPr>
          <w:rFonts w:ascii="Times New Roman" w:hAnsi="Times New Roman" w:cs="Times New Roman"/>
          <w:sz w:val="24"/>
          <w:szCs w:val="24"/>
        </w:rPr>
        <w:sym w:font="Symbol" w:char="F02D"/>
      </w:r>
      <w:r w:rsidRPr="00557299">
        <w:rPr>
          <w:rFonts w:ascii="Times New Roman" w:hAnsi="Times New Roman" w:cs="Times New Roman"/>
          <w:sz w:val="24"/>
          <w:szCs w:val="24"/>
        </w:rPr>
        <w:t xml:space="preserve"> приведення чинного регулювання у відповідність до норм Податкового кодексу України; </w:t>
      </w:r>
    </w:p>
    <w:p w:rsidR="00697974" w:rsidRPr="00557299" w:rsidRDefault="00697974" w:rsidP="006979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99">
        <w:rPr>
          <w:rFonts w:ascii="Times New Roman" w:hAnsi="Times New Roman" w:cs="Times New Roman"/>
          <w:sz w:val="24"/>
          <w:szCs w:val="24"/>
        </w:rPr>
        <w:sym w:font="Symbol" w:char="F02D"/>
      </w:r>
      <w:r w:rsidRPr="00557299">
        <w:rPr>
          <w:rFonts w:ascii="Times New Roman" w:hAnsi="Times New Roman" w:cs="Times New Roman"/>
          <w:sz w:val="24"/>
          <w:szCs w:val="24"/>
        </w:rPr>
        <w:t xml:space="preserve"> зб</w:t>
      </w:r>
      <w:r w:rsidR="003813F7">
        <w:rPr>
          <w:rFonts w:ascii="Times New Roman" w:hAnsi="Times New Roman" w:cs="Times New Roman"/>
          <w:sz w:val="24"/>
          <w:szCs w:val="24"/>
        </w:rPr>
        <w:t xml:space="preserve">ільшення надходжень до </w:t>
      </w:r>
      <w:r w:rsidRPr="00557299">
        <w:rPr>
          <w:rFonts w:ascii="Times New Roman" w:hAnsi="Times New Roman" w:cs="Times New Roman"/>
          <w:sz w:val="24"/>
          <w:szCs w:val="24"/>
        </w:rPr>
        <w:t>бюджету</w:t>
      </w:r>
      <w:r w:rsidR="003813F7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Pr="00557299">
        <w:rPr>
          <w:rFonts w:ascii="Times New Roman" w:hAnsi="Times New Roman" w:cs="Times New Roman"/>
          <w:sz w:val="24"/>
          <w:szCs w:val="24"/>
        </w:rPr>
        <w:t xml:space="preserve"> у вигляді окремих місцевих податків і зборів; </w:t>
      </w:r>
    </w:p>
    <w:p w:rsidR="00697974" w:rsidRPr="00557299" w:rsidRDefault="00697974" w:rsidP="006979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99">
        <w:rPr>
          <w:rFonts w:ascii="Times New Roman" w:hAnsi="Times New Roman" w:cs="Times New Roman"/>
          <w:sz w:val="24"/>
          <w:szCs w:val="24"/>
        </w:rPr>
        <w:sym w:font="Symbol" w:char="F02D"/>
      </w:r>
      <w:r w:rsidRPr="00557299">
        <w:rPr>
          <w:rFonts w:ascii="Times New Roman" w:hAnsi="Times New Roman" w:cs="Times New Roman"/>
          <w:sz w:val="24"/>
          <w:szCs w:val="24"/>
        </w:rPr>
        <w:t xml:space="preserve"> встановлення доцільних та обгрунтованих розмірів ставок місцевих податків і зборів з урахуванням рівня платоспроможності суб’єктів господарювання та підвищення мотивації громадян до зайняття окремими видами підприємницької діяльності; </w:t>
      </w:r>
    </w:p>
    <w:p w:rsidR="00697974" w:rsidRPr="003813F7" w:rsidRDefault="00697974" w:rsidP="003813F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99">
        <w:rPr>
          <w:rFonts w:ascii="Times New Roman" w:hAnsi="Times New Roman" w:cs="Times New Roman"/>
          <w:sz w:val="24"/>
          <w:szCs w:val="24"/>
        </w:rPr>
        <w:sym w:font="Symbol" w:char="F02D"/>
      </w:r>
      <w:r w:rsidRPr="00557299">
        <w:rPr>
          <w:rFonts w:ascii="Times New Roman" w:hAnsi="Times New Roman" w:cs="Times New Roman"/>
          <w:sz w:val="24"/>
          <w:szCs w:val="24"/>
        </w:rPr>
        <w:t xml:space="preserve"> вдосконалення відносин між міською радою, </w:t>
      </w:r>
      <w:r w:rsidR="003813F7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Кам’янсько-Дніпровським відділенням Енергодарської</w:t>
      </w:r>
      <w:r w:rsidRPr="00557299">
        <w:rPr>
          <w:rFonts w:ascii="Times New Roman" w:hAnsi="Times New Roman" w:cs="Times New Roman"/>
          <w:sz w:val="24"/>
          <w:szCs w:val="24"/>
        </w:rPr>
        <w:t xml:space="preserve"> ОДПІ ГУ ДФС у Запорізькій</w:t>
      </w:r>
      <w:r w:rsidR="003813F7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Pr="00557299">
        <w:rPr>
          <w:rFonts w:ascii="Times New Roman" w:hAnsi="Times New Roman" w:cs="Times New Roman"/>
          <w:sz w:val="24"/>
          <w:szCs w:val="24"/>
        </w:rPr>
        <w:t xml:space="preserve"> та суб’єктами господарювання, пов’язаними з оподаткуванням місцевими податками і зборами.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175" w:rsidRPr="00697974" w:rsidRDefault="00075320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та оцінка альтернативних способів досягнення цілей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1.Визначення альтернативних способів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3"/>
        <w:gridCol w:w="5775"/>
      </w:tblGrid>
      <w:tr w:rsidR="00A57795" w:rsidRPr="00697974" w:rsidTr="00A57795">
        <w:tc>
          <w:tcPr>
            <w:tcW w:w="197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02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A57795" w:rsidRPr="00697974" w:rsidTr="00A57795">
        <w:tc>
          <w:tcPr>
            <w:tcW w:w="197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302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 альтернатива не може бути прийнятою для органів місцевого самоврядування, оскільки буде не дотримана вимога до п.12.4.1. ст.12 Податкового кодексу України.</w:t>
            </w:r>
          </w:p>
        </w:tc>
      </w:tr>
      <w:tr w:rsidR="00A57795" w:rsidRPr="00697974" w:rsidTr="00A57795">
        <w:tc>
          <w:tcPr>
            <w:tcW w:w="197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302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 вимог податкового законодавства.</w:t>
            </w:r>
          </w:p>
          <w:p w:rsidR="00A57795" w:rsidRPr="000246DA" w:rsidRDefault="00A57795" w:rsidP="00A577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досягнення цілей державного регулювання.</w:t>
            </w:r>
          </w:p>
          <w:p w:rsidR="00A57795" w:rsidRPr="000246DA" w:rsidRDefault="00A57795" w:rsidP="00A577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="002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гулювання правовідносин суб’єктів</w:t>
            </w: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господарювання і контролюючих органів у процесі справляння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податку</w:t>
            </w: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57795" w:rsidRPr="003813F7" w:rsidRDefault="00A5779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2.Оцінка вибраних альтернативних способів досягнення цілей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Оцінка впливу на сферу інтересів органів місцевого самоврядування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2628"/>
        <w:gridCol w:w="3022"/>
      </w:tblGrid>
      <w:tr w:rsidR="00A57795" w:rsidRPr="00697974" w:rsidTr="00A57795">
        <w:tc>
          <w:tcPr>
            <w:tcW w:w="204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37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58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</w:tr>
      <w:tr w:rsidR="00A57795" w:rsidRPr="00697974" w:rsidTr="00A57795">
        <w:tc>
          <w:tcPr>
            <w:tcW w:w="204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137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 вимог податкового законодавства.</w:t>
            </w:r>
          </w:p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досягнення цілей державного регулювання.</w:t>
            </w:r>
          </w:p>
          <w:p w:rsidR="00A57795" w:rsidRPr="000246DA" w:rsidRDefault="00A57795" w:rsidP="002E39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Врегулювання правовідносин суб’єкт</w:t>
            </w:r>
            <w:r w:rsidR="002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господарювання і контролюючих органів у процесі справляння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податку</w:t>
            </w: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Pr="000246DA" w:rsidRDefault="00A5779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Оцінка впливу на сферу інтересів громадян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3153"/>
        <w:gridCol w:w="3152"/>
      </w:tblGrid>
      <w:tr w:rsidR="00DC4175" w:rsidRPr="00697974" w:rsidTr="00A5779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DC4175" w:rsidRPr="00697974" w:rsidTr="00A5779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</w:tr>
      <w:tr w:rsidR="00DC4175" w:rsidRPr="00697974" w:rsidTr="00A5779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95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Альтернатива2</w:t>
            </w:r>
          </w:p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Значні надходження обс</w:t>
            </w:r>
            <w:r w:rsidR="007F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ягів єдиного податку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7F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сприятимуть збільшенню видатків на надання суспільних послуг мешканців міста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A5779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Оцінка впливу на сферу інтересів суб'єктів господарювання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9"/>
        <w:gridCol w:w="1434"/>
        <w:gridCol w:w="1529"/>
        <w:gridCol w:w="1434"/>
        <w:gridCol w:w="1434"/>
        <w:gridCol w:w="1338"/>
      </w:tblGrid>
      <w:tr w:rsidR="00DC4175" w:rsidRPr="00697974" w:rsidTr="00A57795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4E1BD6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DC4175" w:rsidRPr="00697974" w:rsidTr="00A57795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7F04B2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</w:tr>
      <w:tr w:rsidR="00DC4175" w:rsidRPr="00697974" w:rsidTr="00A57795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3153"/>
        <w:gridCol w:w="3152"/>
      </w:tblGrid>
      <w:tr w:rsidR="00DC4175" w:rsidRPr="00697974" w:rsidTr="00263D32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DC4175" w:rsidRPr="00697974" w:rsidTr="00263D32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D32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1                   </w:t>
            </w:r>
          </w:p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263D3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Суб'єкти господарювання – платники податку у 2019 році будуть сплачувати податок за мінімальними ставками (1 відсоток).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263D3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сплату податку зменшаться, при цьому конкурентоспроможність не зміниться.</w:t>
            </w:r>
          </w:p>
        </w:tc>
      </w:tr>
      <w:tr w:rsidR="00DC4175" w:rsidRPr="00697974" w:rsidTr="00263D32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Сплата єдиного податку за умовами передбаченими Податковим кодексом України.</w:t>
            </w:r>
          </w:p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Відкритість процедури,прозорість до місцевого самоврядування. Вдосконалення відносин між міською радою,органом фіскальної служби та суб’</w:t>
            </w:r>
            <w:r w:rsidR="0026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єктами господарювання пов’язаними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із справлянням податків та зборів.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263D3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Суб'єкти господарювання будуть сплачувати податок за ставками згідно рішення </w:t>
            </w:r>
            <w:r w:rsidR="0038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</w:t>
            </w:r>
            <w:r w:rsidR="0026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ської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міської ради.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Default="00075320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.Вибір найбільш оптимального альтернативного способу досягнення цілей</w:t>
      </w:r>
    </w:p>
    <w:p w:rsidR="00263D32" w:rsidRPr="00697974" w:rsidRDefault="00263D32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  <w:gridCol w:w="3055"/>
        <w:gridCol w:w="2858"/>
      </w:tblGrid>
      <w:tr w:rsidR="00DC4175" w:rsidRPr="00697974" w:rsidTr="009B38CF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DC4175" w:rsidRPr="00697974" w:rsidTr="009B38CF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C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1                         </w:t>
            </w:r>
          </w:p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про встановлення єдиного податку на 2018 рік не буде діяти у 2019 році, що значно зменшить надходження до міського бюджету. </w:t>
            </w:r>
          </w:p>
        </w:tc>
      </w:tr>
      <w:tr w:rsidR="00DC4175" w:rsidRPr="00697974" w:rsidTr="009B38CF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C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2             </w:t>
            </w:r>
          </w:p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2688"/>
        <w:gridCol w:w="1992"/>
        <w:gridCol w:w="2887"/>
      </w:tblGrid>
      <w:tr w:rsidR="00DC4175" w:rsidRPr="00697974" w:rsidTr="009B38CF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divId w:val="133395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DC4175" w:rsidRPr="00697974" w:rsidTr="009B38CF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F631E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досягнення цілей державного регулювання, сталість надходжень до міського бюджету без погіршення умов для розвитку мікробізнесу, а також належне фінансування програм соціал</w:t>
            </w:r>
            <w:r w:rsidR="00CF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ьно-економічного розвитку </w:t>
            </w:r>
            <w:r w:rsidR="00CF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об’єднаної </w:t>
            </w:r>
            <w:r w:rsidR="00CF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територіальної громади.</w:t>
            </w:r>
          </w:p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Витрати пов’язані зі сплатою єдиного податку за запропонованими ставками.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Забезпечить виконання вимог Податкового кодексу України з внесеними до нього змінами щодо його вдосконалення та досягнення поставлених цілей,а саме збільшиться обсяг видатків для забезпечення фінансування повноважень органів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місцевого самоврядування за рахунок додаткових надходжень</w:t>
            </w:r>
          </w:p>
        </w:tc>
      </w:tr>
      <w:tr w:rsidR="00DC4175" w:rsidRPr="00697974" w:rsidTr="009B38CF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9B38C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про встановлення єдиного податку на 2018 рік не буде діяти у 2019 році, що значно </w:t>
            </w:r>
            <w:r w:rsidR="00CF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зменшить надходження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CF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програм соціально-економічного розвитку.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2"/>
        <w:gridCol w:w="3966"/>
        <w:gridCol w:w="2980"/>
      </w:tblGrid>
      <w:tr w:rsidR="00DC4175" w:rsidRPr="00697974" w:rsidTr="009B38CF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C4175" w:rsidRPr="00697974" w:rsidTr="009B38CF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2E39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чином, прийняття вказаного рішення буде досягнуто баланс інтересів міської ради і платників податку.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 до чинного законодавства:</w:t>
            </w:r>
          </w:p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1.Податкового кодексу України</w:t>
            </w:r>
          </w:p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Бюджетного кодексу України</w:t>
            </w:r>
          </w:p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Зміна мінімальної заробітної плати, прожиткового мінімуму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4175" w:rsidRPr="00697974" w:rsidTr="009B38CF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прийняттярегуляторного акта (залишення існуючої на даний момент ситуації без змін)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D7B3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про встановлення єдиного податку на 2018 рік не буде діяти у 2019 році, що значно </w:t>
            </w:r>
            <w:r w:rsidR="0095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зменшить надходження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95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</w:t>
            </w:r>
            <w:r w:rsidR="009508E7" w:rsidRPr="0095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="0095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</w:t>
            </w:r>
            <w:r w:rsidR="002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="00D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заходів для життєдіяльності </w:t>
            </w:r>
            <w:r w:rsidR="00D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Вказана альтернатива є неприйнятною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DC4175" w:rsidRPr="00DD7B34" w:rsidRDefault="00DC4175" w:rsidP="00DD7B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чином, для реалізації обрано Альтернативу 1- встановлення ставок єдиного податку відповідно вимог Податкового кодексу України, що є посильним для платників податків, та забезпечить фінансову основу самостійності органу місцевого самоврядування – </w:t>
      </w:r>
      <w:r w:rsidR="00950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</w:t>
      </w:r>
      <w:r w:rsidR="009508E7" w:rsidRPr="00950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</w:t>
      </w:r>
      <w:r w:rsidR="00950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янсько-Дніпров</w:t>
      </w:r>
      <w:r w:rsid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ської</w:t>
      </w: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ради. Перешкоди щодо можливого впровадження цього регуляторного акту та виконання його вимог відсутні.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075320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.Механізми та заходи, які забезпечать розв'язання визначеної проблеми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5320" w:rsidRPr="007F04B2" w:rsidRDefault="00075320" w:rsidP="007F0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Запропоновані механізми регуляторного акту за допомогою яких можна розв’язати проблему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результаті визначення цілі,проведення аналізу поточної ситуації на території 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</w:t>
      </w:r>
      <w:r w:rsidR="009508E7" w:rsidRPr="0095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об</w:t>
      </w:r>
      <w:r w:rsidRPr="003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аналітичних показників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надходжень відповідних податків і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основним механізмом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забезпечить розв’язання визначеної проблеми є встановлення запропонованих ставок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єдиного податку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175" w:rsidRPr="00697974" w:rsidRDefault="00DC4175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реалізації поставленого завдання пропонуються наступні способи:</w:t>
      </w:r>
    </w:p>
    <w:p w:rsidR="00DC4175" w:rsidRPr="00697974" w:rsidRDefault="00DC4175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1.Встановити фіксовану ставку єдиного податку для першої групи платників єдиного податку - 10 відсотків розміру прожиткового мінімуму</w:t>
      </w:r>
    </w:p>
    <w:p w:rsidR="00075320" w:rsidRPr="007F04B2" w:rsidRDefault="00DC4175" w:rsidP="007F04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2.Для другої групи платників єдиного податку – 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відсотків розміру мінімальної заробітної плати</w:t>
      </w:r>
      <w:r w:rsidR="007F04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Заходи,які мають здійснити органи влади для впровад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ження цього регуляторного акту:</w:t>
      </w:r>
    </w:p>
    <w:p w:rsidR="00075320" w:rsidRPr="0035619F" w:rsidRDefault="00075320" w:rsidP="000753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-р</w:t>
      </w: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озробка проекту рішення </w:t>
      </w:r>
      <w:r w:rsidR="0095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Кам</w:t>
      </w:r>
      <w:r w:rsidR="009508E7" w:rsidRPr="0095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="00950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янсько-Дніпров</w:t>
      </w: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ської міської ради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9508E7" w:rsidRPr="006979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встановлення </w:t>
      </w:r>
      <w:r w:rsidR="009508E7" w:rsidRPr="00050204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ставок єдиного податку для фізичних осіб-підприємців на 2019 рік на території Кам’янсько-Дніпровської міської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аналізу регуляторного впливу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нього;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прилюднення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аналізом регуляторного впливу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имання пропозицій та зауважень;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ідготовка експертного висновку постійної відповідальної комісії щодо відповідності проекту рішення вимогами статей 4,8 Закону України «Про засади державної регуляторної політики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 господарської діяльності»;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тримання пропозицій по удосконаленню від Державн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 регуляторної служби України;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рийняття рішення на пленарному засіданні сесії 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</w:t>
      </w:r>
      <w:r w:rsidR="009508E7" w:rsidRPr="0095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 ради;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прилюднення рішення у встановленому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аконодавством порядку;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-сприяняя веденню підприємницької діяльності суб</w:t>
      </w:r>
      <w:r w:rsidRPr="00C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єктами господарювання, які є платниками місцевих податків і зборів, з метою росту їх платоспроможності;</w:t>
      </w:r>
    </w:p>
    <w:p w:rsidR="00075320" w:rsidRPr="00C056A8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-забезпечення надходжень встановлени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 податків і зборів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</w:t>
      </w:r>
      <w:r w:rsidR="009508E7" w:rsidRPr="0095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9508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075320" w:rsidRPr="000246DA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роведення заходів з відстеження результативності прийнятого рішення.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5320" w:rsidRPr="000246DA" w:rsidRDefault="00075320" w:rsidP="0007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024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75320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320" w:rsidRPr="00EF20A5" w:rsidRDefault="00075320" w:rsidP="000753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</w:t>
      </w:r>
      <w:r w:rsidR="00EF20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6B00" w:rsidRPr="000246DA" w:rsidRDefault="00006B00" w:rsidP="0000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 запропонованого строку дії регуляторного акта</w:t>
      </w:r>
    </w:p>
    <w:p w:rsidR="00006B00" w:rsidRDefault="00006B00" w:rsidP="0000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B00" w:rsidRDefault="00006B00" w:rsidP="009508E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322">
        <w:rPr>
          <w:rFonts w:ascii="Times New Roman" w:hAnsi="Times New Roman" w:cs="Times New Roman"/>
          <w:sz w:val="24"/>
          <w:szCs w:val="24"/>
        </w:rPr>
        <w:t>Строк дії запропонованого регуляторного акта встановлюється на необмежений термін, оскільки відносини у сфері оподаткування мають перманентний (постійний) характер. Проте, в разі внесення змін до чинного податкового законодавства на державному рівні, що впливатимуть на дію даного регуляторного акта, до нього будуть вноситись відповідні коригування.</w:t>
      </w:r>
    </w:p>
    <w:p w:rsidR="009508E7" w:rsidRPr="009508E7" w:rsidRDefault="009508E7" w:rsidP="009508E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5C3" w:rsidRPr="000246DA" w:rsidRDefault="009C15C3" w:rsidP="009C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показників результативності дії регуляторного акта</w:t>
      </w:r>
    </w:p>
    <w:p w:rsidR="009C15C3" w:rsidRDefault="009C15C3" w:rsidP="009C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5C3" w:rsidRDefault="009C15C3" w:rsidP="009C15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42229E" w:rsidRPr="0042229E" w:rsidRDefault="0042229E" w:rsidP="0042229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071322">
        <w:rPr>
          <w:rFonts w:ascii="Times New Roman" w:hAnsi="Times New Roman" w:cs="Times New Roman"/>
          <w:sz w:val="24"/>
          <w:szCs w:val="24"/>
        </w:rPr>
        <w:t xml:space="preserve">сума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податкових </w:t>
      </w:r>
      <w:r w:rsidRPr="00071322">
        <w:rPr>
          <w:rFonts w:ascii="Times New Roman" w:hAnsi="Times New Roman" w:cs="Times New Roman"/>
          <w:sz w:val="24"/>
          <w:szCs w:val="24"/>
        </w:rPr>
        <w:t>надходж</w:t>
      </w:r>
      <w:r>
        <w:rPr>
          <w:rFonts w:ascii="Times New Roman" w:hAnsi="Times New Roman" w:cs="Times New Roman"/>
          <w:sz w:val="24"/>
          <w:szCs w:val="24"/>
        </w:rPr>
        <w:t>ень до загального фонду</w:t>
      </w:r>
      <w:r w:rsidRPr="00071322">
        <w:rPr>
          <w:rFonts w:ascii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Pr="009508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громади,</w:t>
      </w:r>
      <w:r w:rsidRPr="00071322">
        <w:rPr>
          <w:rFonts w:ascii="Times New Roman" w:hAnsi="Times New Roman" w:cs="Times New Roman"/>
          <w:sz w:val="24"/>
          <w:szCs w:val="24"/>
        </w:rPr>
        <w:t xml:space="preserve"> всього; </w:t>
      </w:r>
    </w:p>
    <w:p w:rsidR="009C15C3" w:rsidRPr="00C866E4" w:rsidRDefault="009C15C3" w:rsidP="00C866E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71322">
        <w:rPr>
          <w:rFonts w:ascii="Times New Roman" w:hAnsi="Times New Roman" w:cs="Times New Roman"/>
          <w:sz w:val="24"/>
          <w:szCs w:val="24"/>
        </w:rPr>
        <w:t>сума надходж</w:t>
      </w:r>
      <w:r w:rsidR="009508E7">
        <w:rPr>
          <w:rFonts w:ascii="Times New Roman" w:hAnsi="Times New Roman" w:cs="Times New Roman"/>
          <w:sz w:val="24"/>
          <w:szCs w:val="24"/>
        </w:rPr>
        <w:t>ень до загального фонду</w:t>
      </w:r>
      <w:r w:rsidRPr="00071322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9508E7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9508E7" w:rsidRPr="009508E7">
        <w:rPr>
          <w:rFonts w:ascii="Times New Roman" w:hAnsi="Times New Roman" w:cs="Times New Roman"/>
          <w:sz w:val="24"/>
          <w:szCs w:val="24"/>
        </w:rPr>
        <w:t>’</w:t>
      </w:r>
      <w:r w:rsidR="009508E7"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</w:t>
      </w:r>
      <w:r w:rsidRPr="00071322">
        <w:rPr>
          <w:rFonts w:ascii="Times New Roman" w:hAnsi="Times New Roman" w:cs="Times New Roman"/>
          <w:sz w:val="24"/>
          <w:szCs w:val="24"/>
        </w:rPr>
        <w:t xml:space="preserve"> </w:t>
      </w:r>
      <w:r w:rsidR="007F04B2" w:rsidRPr="00E11122">
        <w:rPr>
          <w:rFonts w:ascii="Times New Roman" w:hAnsi="Times New Roman" w:cs="Times New Roman"/>
          <w:sz w:val="24"/>
          <w:szCs w:val="24"/>
        </w:rPr>
        <w:t>місцевих податків і зборів</w:t>
      </w:r>
      <w:r w:rsidR="007F04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71322">
        <w:rPr>
          <w:rFonts w:ascii="Times New Roman" w:hAnsi="Times New Roman" w:cs="Times New Roman"/>
          <w:sz w:val="24"/>
          <w:szCs w:val="24"/>
        </w:rPr>
        <w:t xml:space="preserve"> всього; </w:t>
      </w:r>
    </w:p>
    <w:p w:rsidR="009C15C3" w:rsidRPr="00071322" w:rsidRDefault="009C15C3" w:rsidP="009C15C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>- сума надходже</w:t>
      </w:r>
      <w:r w:rsidR="009508E7">
        <w:rPr>
          <w:rFonts w:ascii="Times New Roman" w:hAnsi="Times New Roman" w:cs="Times New Roman"/>
          <w:sz w:val="24"/>
          <w:szCs w:val="24"/>
        </w:rPr>
        <w:t xml:space="preserve">нь до загального фонду </w:t>
      </w:r>
      <w:r w:rsidRPr="00071322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9508E7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9508E7" w:rsidRPr="009508E7">
        <w:rPr>
          <w:rFonts w:ascii="Times New Roman" w:hAnsi="Times New Roman" w:cs="Times New Roman"/>
          <w:sz w:val="24"/>
          <w:szCs w:val="24"/>
        </w:rPr>
        <w:t>’</w:t>
      </w:r>
      <w:r w:rsidR="009508E7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>єдиного податку</w:t>
      </w:r>
      <w:r w:rsidRPr="00071322">
        <w:rPr>
          <w:rFonts w:ascii="Times New Roman" w:hAnsi="Times New Roman" w:cs="Times New Roman"/>
          <w:sz w:val="24"/>
          <w:szCs w:val="24"/>
        </w:rPr>
        <w:t xml:space="preserve">, всього;       </w:t>
      </w:r>
    </w:p>
    <w:p w:rsidR="009C15C3" w:rsidRPr="00071322" w:rsidRDefault="009C15C3" w:rsidP="009C15C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питома вага надходжень від сплати </w:t>
      </w:r>
      <w:r>
        <w:rPr>
          <w:rFonts w:ascii="Times New Roman" w:hAnsi="Times New Roman" w:cs="Times New Roman"/>
          <w:sz w:val="24"/>
          <w:szCs w:val="24"/>
          <w:lang w:val="uk-UA"/>
        </w:rPr>
        <w:t>єдиного под</w:t>
      </w:r>
      <w:r w:rsidR="002E394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тку в сумі сплати </w:t>
      </w:r>
      <w:r w:rsidRPr="00071322">
        <w:rPr>
          <w:rFonts w:ascii="Times New Roman" w:hAnsi="Times New Roman" w:cs="Times New Roman"/>
          <w:sz w:val="24"/>
          <w:szCs w:val="24"/>
        </w:rPr>
        <w:t>місцевих податків і зборів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</w:t>
      </w:r>
      <w:r w:rsidRPr="000713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5C3" w:rsidRDefault="009C15C3" w:rsidP="009C15C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кількість суб’єктів господарської діяльності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що фактично сплатили єдиний податок</w:t>
      </w:r>
      <w:r w:rsidRPr="00071322">
        <w:rPr>
          <w:rFonts w:ascii="Times New Roman" w:hAnsi="Times New Roman" w:cs="Times New Roman"/>
          <w:sz w:val="24"/>
          <w:szCs w:val="24"/>
        </w:rPr>
        <w:t>.</w:t>
      </w:r>
    </w:p>
    <w:p w:rsidR="009C15C3" w:rsidRDefault="009C15C3" w:rsidP="009C15C3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322">
        <w:rPr>
          <w:rFonts w:ascii="Times New Roman" w:hAnsi="Times New Roman" w:cs="Times New Roman"/>
          <w:sz w:val="24"/>
          <w:szCs w:val="24"/>
        </w:rPr>
        <w:t xml:space="preserve">Такі соціологічні показники як «час, що витрачається суб’єктами господарювання на виконання вимог акта» та «розмір коштів, що витрачаються суб’єктами господарювання, пов’язаними з виконанням вимог акта» не розглядаються, оскільки цим регуляторним актом встановлюються тільки ставки місцевих податків і зборів та не передбачається проходження суб’єктами господарювання додаткових процедур. </w:t>
      </w:r>
    </w:p>
    <w:p w:rsidR="0042229E" w:rsidRPr="0042229E" w:rsidRDefault="0042229E" w:rsidP="009C15C3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5027"/>
        <w:gridCol w:w="1066"/>
        <w:gridCol w:w="1108"/>
        <w:gridCol w:w="1181"/>
        <w:gridCol w:w="1337"/>
      </w:tblGrid>
      <w:tr w:rsidR="0042229E" w:rsidRPr="00071322" w:rsidTr="0042229E">
        <w:tc>
          <w:tcPr>
            <w:tcW w:w="5027" w:type="dxa"/>
          </w:tcPr>
          <w:p w:rsidR="0042229E" w:rsidRPr="0042229E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2229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Назва показника</w:t>
            </w:r>
          </w:p>
        </w:tc>
        <w:tc>
          <w:tcPr>
            <w:tcW w:w="1066" w:type="dxa"/>
          </w:tcPr>
          <w:p w:rsidR="0042229E" w:rsidRPr="0042229E" w:rsidRDefault="0042229E" w:rsidP="004222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2229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2016</w:t>
            </w:r>
          </w:p>
        </w:tc>
        <w:tc>
          <w:tcPr>
            <w:tcW w:w="1108" w:type="dxa"/>
          </w:tcPr>
          <w:p w:rsidR="0042229E" w:rsidRPr="0042229E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2229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Pr="0042229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81" w:type="dxa"/>
          </w:tcPr>
          <w:p w:rsidR="0042229E" w:rsidRPr="0042229E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2229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заплановано на </w:t>
            </w:r>
            <w:r w:rsidRPr="0042229E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201</w:t>
            </w:r>
            <w:r w:rsidRPr="0042229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8 </w:t>
            </w:r>
          </w:p>
        </w:tc>
        <w:tc>
          <w:tcPr>
            <w:tcW w:w="1337" w:type="dxa"/>
          </w:tcPr>
          <w:p w:rsidR="0042229E" w:rsidRPr="0042229E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42229E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фактичне надходження на 01.05.2018</w:t>
            </w:r>
          </w:p>
        </w:tc>
      </w:tr>
      <w:tr w:rsidR="0042229E" w:rsidRPr="00071322" w:rsidTr="0042229E">
        <w:tc>
          <w:tcPr>
            <w:tcW w:w="5027" w:type="dxa"/>
          </w:tcPr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Сума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податкових </w:t>
            </w: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>надходжень до загал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фонду бюджету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об’єднаної територіальної громади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071322">
              <w:rPr>
                <w:rFonts w:ascii="Times New Roman" w:hAnsi="Times New Roman" w:cs="Times New Roman"/>
                <w:b/>
                <w:sz w:val="20"/>
                <w:szCs w:val="20"/>
              </w:rPr>
              <w:t>(тис.грн.)</w:t>
            </w:r>
          </w:p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42229E" w:rsidRPr="0042229E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7124,692</w:t>
            </w:r>
          </w:p>
        </w:tc>
        <w:tc>
          <w:tcPr>
            <w:tcW w:w="1108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11501,916</w:t>
            </w:r>
          </w:p>
        </w:tc>
        <w:tc>
          <w:tcPr>
            <w:tcW w:w="1181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46502,500</w:t>
            </w:r>
          </w:p>
        </w:tc>
        <w:tc>
          <w:tcPr>
            <w:tcW w:w="1337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15452,534</w:t>
            </w:r>
          </w:p>
        </w:tc>
      </w:tr>
      <w:tr w:rsidR="0042229E" w:rsidRPr="00071322" w:rsidTr="0042229E">
        <w:tc>
          <w:tcPr>
            <w:tcW w:w="5027" w:type="dxa"/>
          </w:tcPr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>Сума надходже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до загального фонду </w:t>
            </w: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об’єднаної територіальної громади</w:t>
            </w: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 місц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евих податків і зборів (ВСЬ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ГО) </w:t>
            </w: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322">
              <w:rPr>
                <w:rFonts w:ascii="Times New Roman" w:hAnsi="Times New Roman" w:cs="Times New Roman"/>
                <w:b/>
                <w:sz w:val="20"/>
                <w:szCs w:val="20"/>
              </w:rPr>
              <w:t>(тис.грн.)</w:t>
            </w:r>
          </w:p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3726,670</w:t>
            </w:r>
          </w:p>
        </w:tc>
        <w:tc>
          <w:tcPr>
            <w:tcW w:w="1108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6078,217</w:t>
            </w:r>
          </w:p>
        </w:tc>
        <w:tc>
          <w:tcPr>
            <w:tcW w:w="1181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866E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8494,100</w:t>
            </w:r>
          </w:p>
        </w:tc>
        <w:tc>
          <w:tcPr>
            <w:tcW w:w="1337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6056,739</w:t>
            </w:r>
          </w:p>
        </w:tc>
      </w:tr>
      <w:tr w:rsidR="0042229E" w:rsidRPr="005B7617" w:rsidTr="0042229E">
        <w:tc>
          <w:tcPr>
            <w:tcW w:w="5027" w:type="dxa"/>
          </w:tcPr>
          <w:p w:rsidR="0042229E" w:rsidRPr="00071322" w:rsidRDefault="0042229E" w:rsidP="009C1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</w:t>
            </w:r>
            <w:r w:rsidRPr="00E11122">
              <w:rPr>
                <w:rFonts w:ascii="Times New Roman" w:hAnsi="Times New Roman" w:cs="Times New Roman"/>
                <w:sz w:val="20"/>
                <w:szCs w:val="24"/>
              </w:rPr>
              <w:t>ума надходже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нь до загального фонду </w:t>
            </w:r>
            <w:r w:rsidRPr="00E11122">
              <w:rPr>
                <w:rFonts w:ascii="Times New Roman" w:hAnsi="Times New Roman" w:cs="Times New Roman"/>
                <w:sz w:val="20"/>
                <w:szCs w:val="24"/>
              </w:rPr>
              <w:t>бюджету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об’єднаної територіальної громади</w:t>
            </w:r>
            <w:r w:rsidRPr="00E1112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єдиного податку</w:t>
            </w:r>
            <w:r w:rsidRPr="00071322">
              <w:rPr>
                <w:rFonts w:ascii="Times New Roman" w:hAnsi="Times New Roman" w:cs="Times New Roman"/>
                <w:b/>
                <w:sz w:val="20"/>
                <w:szCs w:val="20"/>
              </w:rPr>
              <w:t>(тис.грн.)</w:t>
            </w:r>
          </w:p>
        </w:tc>
        <w:tc>
          <w:tcPr>
            <w:tcW w:w="1066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1500,500</w:t>
            </w:r>
          </w:p>
        </w:tc>
        <w:tc>
          <w:tcPr>
            <w:tcW w:w="1108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3319,015</w:t>
            </w:r>
          </w:p>
        </w:tc>
        <w:tc>
          <w:tcPr>
            <w:tcW w:w="1181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7218,500</w:t>
            </w:r>
          </w:p>
        </w:tc>
        <w:tc>
          <w:tcPr>
            <w:tcW w:w="1337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2527,649</w:t>
            </w:r>
          </w:p>
        </w:tc>
      </w:tr>
      <w:tr w:rsidR="0042229E" w:rsidRPr="004F1BF5" w:rsidTr="0042229E">
        <w:tc>
          <w:tcPr>
            <w:tcW w:w="5027" w:type="dxa"/>
          </w:tcPr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Питома вага надходжень від сплати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єдиного податку в сумі сплати місцевих податків і зборів </w:t>
            </w:r>
            <w:r w:rsidRPr="00071322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42229E" w:rsidRPr="00C866E4" w:rsidRDefault="0042229E" w:rsidP="004222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40,26</w:t>
            </w:r>
          </w:p>
        </w:tc>
        <w:tc>
          <w:tcPr>
            <w:tcW w:w="1108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54,61</w:t>
            </w:r>
          </w:p>
        </w:tc>
        <w:tc>
          <w:tcPr>
            <w:tcW w:w="1181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866E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9,0</w:t>
            </w:r>
          </w:p>
        </w:tc>
        <w:tc>
          <w:tcPr>
            <w:tcW w:w="1337" w:type="dxa"/>
          </w:tcPr>
          <w:p w:rsidR="0042229E" w:rsidRPr="00C866E4" w:rsidRDefault="0042229E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41,73</w:t>
            </w:r>
          </w:p>
        </w:tc>
      </w:tr>
      <w:tr w:rsidR="0042229E" w:rsidRPr="00E11122" w:rsidTr="0042229E">
        <w:tc>
          <w:tcPr>
            <w:tcW w:w="5027" w:type="dxa"/>
          </w:tcPr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суб’єктів господарської діяльності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 фактично сплатили єдиний податок </w:t>
            </w:r>
            <w:r w:rsidRPr="00071322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осіб)</w:t>
            </w:r>
          </w:p>
          <w:p w:rsidR="0042229E" w:rsidRPr="00071322" w:rsidRDefault="0042229E" w:rsidP="00190D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dxa"/>
          </w:tcPr>
          <w:p w:rsidR="0042229E" w:rsidRPr="00C866E4" w:rsidRDefault="006445D3" w:rsidP="004222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401</w:t>
            </w:r>
          </w:p>
        </w:tc>
        <w:tc>
          <w:tcPr>
            <w:tcW w:w="1108" w:type="dxa"/>
          </w:tcPr>
          <w:p w:rsidR="0042229E" w:rsidRPr="00C866E4" w:rsidRDefault="006445D3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430</w:t>
            </w:r>
          </w:p>
        </w:tc>
        <w:tc>
          <w:tcPr>
            <w:tcW w:w="1181" w:type="dxa"/>
          </w:tcPr>
          <w:p w:rsidR="0042229E" w:rsidRPr="00C866E4" w:rsidRDefault="006445D3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387</w:t>
            </w:r>
          </w:p>
        </w:tc>
        <w:tc>
          <w:tcPr>
            <w:tcW w:w="1337" w:type="dxa"/>
          </w:tcPr>
          <w:p w:rsidR="0042229E" w:rsidRPr="00C866E4" w:rsidRDefault="006445D3" w:rsidP="00190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387</w:t>
            </w:r>
          </w:p>
        </w:tc>
      </w:tr>
    </w:tbl>
    <w:p w:rsidR="009C15C3" w:rsidRPr="00071322" w:rsidRDefault="009C15C3" w:rsidP="009C15C3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2495" w:rsidRPr="000246DA" w:rsidRDefault="00252495" w:rsidP="0025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252495" w:rsidRDefault="00252495" w:rsidP="0025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495" w:rsidRPr="000246DA" w:rsidRDefault="00252495" w:rsidP="002524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252495" w:rsidRPr="005032BC" w:rsidRDefault="00252495" w:rsidP="002524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міського бюджету, кількості осіб, на яких поширюватиметься дія акта.</w:t>
      </w:r>
    </w:p>
    <w:p w:rsidR="00DC4175" w:rsidRDefault="00DC4175" w:rsidP="00A4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1143" w:rsidRDefault="00A41143" w:rsidP="00A4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61CC3" w:rsidRDefault="00861CC3" w:rsidP="00A4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1143" w:rsidRPr="00A41143" w:rsidRDefault="00A41143" w:rsidP="00A41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малого підприємництва (М-Тест)</w:t>
      </w:r>
    </w:p>
    <w:p w:rsidR="00AC1854" w:rsidRDefault="00AC1854" w:rsidP="00AC18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1.Консультації з представниками мікро- та малого підприємництва щодо оцінки впливу регулювання</w:t>
      </w:r>
    </w:p>
    <w:p w:rsidR="007D4D08" w:rsidRPr="007D4D08" w:rsidRDefault="007D4D08" w:rsidP="00AC18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5175"/>
        <w:gridCol w:w="1625"/>
        <w:gridCol w:w="1906"/>
      </w:tblGrid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ковий номер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Робоча зустріч з предстаниками </w:t>
            </w:r>
            <w:r w:rsidR="00A4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</w:t>
            </w:r>
            <w:r w:rsidR="00A41143" w:rsidRPr="00A4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="00A4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янсько-Дніпровського відділення Енергодар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ської ОДПІ ГУ ДФС у Запорізькій області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41143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AC1854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Круглі столи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0246DA" w:rsidRDefault="00AC1854" w:rsidP="00190DB1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</w:tbl>
    <w:p w:rsidR="00AC1854" w:rsidRDefault="00AC1854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Вимірювання впливу регулювання на суб'єктів малого підприємництва (мікро- та малі):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суб'єктів підприємництва, на яких поширюється регулювання: </w:t>
      </w:r>
      <w:r w:rsidR="00B72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572</w:t>
      </w:r>
      <w:r w:rsidR="00B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(одиниц</w:t>
      </w:r>
      <w:r w:rsidR="00B72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питома вага суб'єктів підприємництва у загальній кількості суб'єктів господарювання, на яких проблема справляє вплив 100 (відсотків)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Розрахунок витрат суб'єктів малого підприємництва на виконання вимог регулювання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686"/>
        <w:gridCol w:w="2397"/>
        <w:gridCol w:w="1434"/>
        <w:gridCol w:w="1625"/>
      </w:tblGrid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 за п'ять років</w:t>
            </w:r>
          </w:p>
        </w:tc>
      </w:tr>
      <w:tr w:rsidR="00DC4175" w:rsidRPr="00AC1854" w:rsidTr="00BC09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7D4D08" w:rsidP="007D4D0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</w:t>
            </w:r>
            <w:r w:rsidR="00DC4175"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BC0999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999" w:rsidRPr="00AC1854" w:rsidRDefault="00BC0999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999" w:rsidRPr="00AC1854" w:rsidRDefault="00BC0999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процедури (уточнити) (сплата податку)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999" w:rsidRPr="00410B4E" w:rsidRDefault="00BC0999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7218500,00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999" w:rsidRPr="00410B4E" w:rsidRDefault="00BC0999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7218500,00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999" w:rsidRPr="00410B4E" w:rsidRDefault="00BC0999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6092500,00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Разом, гривень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BC0999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7218</w:t>
            </w:r>
            <w:r w:rsidR="004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BC0999" w:rsidP="002E39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7218</w:t>
            </w:r>
            <w:r w:rsidR="004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4A0C8F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BC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6092</w:t>
            </w:r>
            <w:r w:rsidR="004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BC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10B4E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</w:t>
            </w:r>
          </w:p>
        </w:tc>
      </w:tr>
      <w:tr w:rsidR="00DC4175" w:rsidRPr="00AC185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A41143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DC4175"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гривень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7D4D08" w:rsidRDefault="00BC0999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7218500,00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7D4D08" w:rsidRDefault="00BC0999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7218500</w:t>
            </w:r>
            <w:r w:rsidR="004A0C8F"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7D4D08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C0999"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36092500</w:t>
            </w:r>
            <w:r w:rsidR="004A0C8F"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,00</w:t>
            </w:r>
          </w:p>
          <w:p w:rsidR="00DC4175" w:rsidRPr="007D4D08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75" w:rsidRPr="00697974" w:rsidTr="00BC0999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9AC3CB"/>
              <w:bottom w:val="single" w:sz="4" w:space="0" w:color="auto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отримання</w:t>
            </w:r>
            <w:r w:rsidR="00A4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первинної інформації про вимоги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25,9 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25,9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129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організації виконання вимог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41143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259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офіційного звітування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</w:t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щодо забезпечення процесу перевірок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процедури (уточнити)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(сума рядків 9 + 10 + 11 + 12 + 13)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41143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41143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A4114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388</w:t>
            </w:r>
            <w:r w:rsidR="00DC4175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387</w:t>
            </w:r>
            <w:r w:rsidR="00680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387</w:t>
            </w:r>
          </w:p>
        </w:tc>
      </w:tr>
      <w:tr w:rsidR="00DC4175" w:rsidRPr="00697974" w:rsidTr="00BC0999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4A0C8F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Сумарно,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відповідний стовпчик "разом" Х кількість суб'єктів малого підприємництва, що повинні виконати вимоги регулювання (рядок 14 Х рядок 15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30069,90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30069,90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BC0999" w:rsidRDefault="006445D3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150349,50</w:t>
            </w:r>
          </w:p>
        </w:tc>
      </w:tr>
    </w:tbl>
    <w:p w:rsidR="00146C87" w:rsidRDefault="00146C87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6C87" w:rsidRDefault="00146C87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4175" w:rsidRPr="00146C87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Бюджетні витрати</w:t>
      </w:r>
    </w:p>
    <w:p w:rsidR="00DC4175" w:rsidRPr="00146C87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адміністрування регулювання суб'єктів малого підприємництва</w:t>
      </w:r>
    </w:p>
    <w:p w:rsidR="00CA3EC4" w:rsidRPr="00146C87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6C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Бюджетні витрати на адміністрування регулювання суб’єктів малого підприємництва не підлягають розрахунку,оскільки встановлені нормами Податкового кодексу України. Органи місцевого самоврядування наділені повноваженням</w:t>
      </w:r>
      <w:r w:rsidR="002E39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146C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лише встановлювати ставки місцевих податків (зборів), не змінюючи порядок їх обчислення та інші адміністративні процедури.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14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3684"/>
        <w:gridCol w:w="2191"/>
        <w:gridCol w:w="2189"/>
      </w:tblGrid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п'ять років</w:t>
            </w:r>
          </w:p>
        </w:tc>
      </w:tr>
      <w:tr w:rsidR="004A0C8F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C8F" w:rsidRPr="00697974" w:rsidRDefault="004A0C8F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C8F" w:rsidRPr="00697974" w:rsidRDefault="004A0C8F" w:rsidP="004A0C8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C8F" w:rsidRPr="00CA3EC4" w:rsidRDefault="00680B1B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7218500,00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C8F" w:rsidRPr="00CA3EC4" w:rsidRDefault="00680B1B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36092500,00</w:t>
            </w: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</w:tr>
      <w:tr w:rsidR="00CA3EC4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EC4" w:rsidRPr="00697974" w:rsidRDefault="00CA3EC4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EC4" w:rsidRPr="00697974" w:rsidRDefault="00CA3EC4" w:rsidP="004A0C8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EC4" w:rsidRPr="00CA3EC4" w:rsidRDefault="00CA3EC4" w:rsidP="001D742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30069,90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EC4" w:rsidRPr="00CA3EC4" w:rsidRDefault="00CA3EC4" w:rsidP="001D742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150349,50</w:t>
            </w:r>
          </w:p>
        </w:tc>
      </w:tr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CA3EC4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7248569,90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680B1B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 w:rsid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242849,50</w:t>
            </w:r>
          </w:p>
        </w:tc>
      </w:tr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680B1B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680B1B" w:rsidP="004A0C8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680B1B" w:rsidP="00D737B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 w:rsid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48569,90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CA3EC4" w:rsidRDefault="00680B1B" w:rsidP="00D737B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 w:rsidR="00CA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242849,50</w:t>
            </w:r>
          </w:p>
        </w:tc>
      </w:tr>
    </w:tbl>
    <w:p w:rsidR="00DC4175" w:rsidRPr="00A41143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15A" w:rsidRPr="000246DA" w:rsidRDefault="001F115A" w:rsidP="0019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 про базове відстеження результативності регуляторного акта</w:t>
      </w:r>
    </w:p>
    <w:p w:rsidR="001F115A" w:rsidRPr="000246DA" w:rsidRDefault="001F115A" w:rsidP="0019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рішення 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</w:t>
      </w:r>
      <w:r w:rsidR="00A41143" w:rsidRP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</w:t>
      </w:r>
    </w:p>
    <w:p w:rsidR="001F115A" w:rsidRPr="006F4FA7" w:rsidRDefault="001F115A" w:rsidP="0019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встановлення </w:t>
      </w:r>
      <w:r w:rsidR="00A411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ставок 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єдиного податку</w:t>
      </w:r>
      <w:r w:rsidR="00A411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для фізичних осіб-підприємців на 2019 рік на території Кам’янсько-Дніпров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ської </w:t>
      </w:r>
      <w:r w:rsidR="00A411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міської 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об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>’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єднаної</w:t>
      </w:r>
      <w:r w:rsidR="00A411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41143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</w:t>
      </w:r>
      <w:r w:rsidR="00A411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риторіальної громади</w:t>
      </w:r>
      <w:r w:rsidR="00A4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6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1F115A" w:rsidRPr="00CF28B9" w:rsidRDefault="001F115A" w:rsidP="00190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15A" w:rsidRPr="000246DA" w:rsidRDefault="001F115A" w:rsidP="00190DB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Виконавець заходів з відстеження результативності: </w:t>
      </w:r>
      <w:r w:rsidR="00A41143">
        <w:rPr>
          <w:rFonts w:ascii="Times New Roman" w:hAnsi="Times New Roman" w:cs="Times New Roman"/>
          <w:sz w:val="24"/>
          <w:szCs w:val="24"/>
          <w:lang w:val="uk-UA" w:eastAsia="uk-UA"/>
        </w:rPr>
        <w:t>відділ економічного розвитку, інфраструктури та інвестицій  виконавчого комітету Кам’янсько-Дніпровської міської ради Кам’янсько-Дніпров</w:t>
      </w:r>
      <w:r w:rsidR="00A41143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A4114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1F115A" w:rsidRPr="00CF28B9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Цілі прийняття акта</w:t>
      </w:r>
    </w:p>
    <w:p w:rsidR="001F115A" w:rsidRPr="00CF28B9" w:rsidRDefault="001F115A" w:rsidP="00190D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-встановлення обґрунтованих розмірів ставок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иного податку</w:t>
      </w:r>
      <w:r w:rsidR="007D4D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території Кам</w:t>
      </w:r>
      <w:r w:rsidR="00A41143" w:rsidRP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ОТГ;</w:t>
      </w:r>
    </w:p>
    <w:p w:rsidR="001F115A" w:rsidRPr="000246DA" w:rsidRDefault="001F115A" w:rsidP="00190D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стабільних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надходжень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</w:t>
      </w:r>
      <w:r w:rsidR="00A41143" w:rsidRP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15A" w:rsidRPr="000246DA" w:rsidRDefault="001F115A" w:rsidP="00190D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дотримання вимог Податкового кодексу щодо місцевих податків і зборів</w:t>
      </w:r>
    </w:p>
    <w:p w:rsidR="001F115A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15A" w:rsidRPr="000246DA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Строк виконання заходів з відстеження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72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 (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18–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р.)</w:t>
      </w:r>
    </w:p>
    <w:p w:rsidR="001F115A" w:rsidRPr="00782492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відстеження: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Заходи які були виконані з відстеження результативності–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вивчення Податкового кодексу України, нормативно-правових актів, щодо визначення правомірності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встановлення місцевих податків та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органу місцевого самоврядування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782492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 одержання результатів відстеження результативності: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 та припущення на основі яких відстежувалася результативність, а також способи одержання даних</w:t>
      </w:r>
    </w:p>
    <w:p w:rsidR="001F115A" w:rsidRPr="000246DA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Відстеження результативності здійснюється на основі даних, одержаних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органів державного казначейства, та опрацьованих </w:t>
      </w:r>
      <w:r w:rsidR="00F8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відділом економічного розвитку, інфраструктури та інвестицій та фінансовим відділом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виконавчого комітету </w:t>
      </w:r>
      <w:r w:rsidR="00F8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</w:t>
      </w:r>
      <w:r w:rsidR="00F8677F" w:rsidRPr="00F8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F8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ради, а саме – дохід в місцевий бюджет від сплати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єдиного податку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кількість платників </w:t>
      </w:r>
      <w:r w:rsidR="004F1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податку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15A" w:rsidRPr="000246DA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обговорення, отримання пропозицій та зауважень до проекту регуляторного акта, проект рішення разом з відповідним аналізом регуляторного впливу та М-тестом був оприлюднений відповідно до ст. 9 та ст. 13 Закону України «Про засади державної регуляторної політики у сфері господарської діяльності» на офіційному сайті </w:t>
      </w:r>
      <w:r w:rsidR="00F8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</w:t>
      </w:r>
      <w:r w:rsidR="00F8677F" w:rsidRPr="00F8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F867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ради.</w:t>
      </w:r>
    </w:p>
    <w:p w:rsidR="001F115A" w:rsidRPr="00782492" w:rsidRDefault="001F115A" w:rsidP="0019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 показники результативності</w:t>
      </w:r>
    </w:p>
    <w:p w:rsidR="001F115A" w:rsidRDefault="001F115A" w:rsidP="001F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з отриманою інформацією</w:t>
      </w:r>
      <w:r w:rsidR="001D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показники результативності за 2017 рік становлять</w:t>
      </w:r>
      <w:r w:rsidR="001D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146C87" w:rsidRDefault="00146C87" w:rsidP="001F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46C87" w:rsidRDefault="00146C87" w:rsidP="001F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3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4"/>
        <w:gridCol w:w="1701"/>
        <w:gridCol w:w="1701"/>
        <w:gridCol w:w="1944"/>
      </w:tblGrid>
      <w:tr w:rsidR="00146C87" w:rsidRPr="00885CD3" w:rsidTr="0077770F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Назва показника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502658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02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2016 р.</w:t>
            </w:r>
          </w:p>
        </w:tc>
        <w:tc>
          <w:tcPr>
            <w:tcW w:w="1701" w:type="dxa"/>
            <w:shd w:val="clear" w:color="auto" w:fill="auto"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2017 р.</w:t>
            </w:r>
          </w:p>
        </w:tc>
        <w:tc>
          <w:tcPr>
            <w:tcW w:w="19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4 м-ці 2018 р.</w:t>
            </w:r>
          </w:p>
        </w:tc>
      </w:tr>
      <w:tr w:rsidR="0077770F" w:rsidRPr="00885CD3" w:rsidTr="0077770F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770F" w:rsidRPr="0077770F" w:rsidRDefault="0077770F" w:rsidP="0077770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 інформації щодо кількості суб’єктів малого підприємництва, на яких поширюється дія 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770F" w:rsidRDefault="0077770F" w:rsidP="0077770F">
            <w:pPr>
              <w:jc w:val="center"/>
            </w:pPr>
            <w:r w:rsidRPr="00DB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770F" w:rsidRDefault="0077770F" w:rsidP="0077770F">
            <w:pPr>
              <w:jc w:val="center"/>
            </w:pPr>
            <w:r w:rsidRPr="00DB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770F" w:rsidRDefault="0077770F" w:rsidP="0077770F">
            <w:pPr>
              <w:jc w:val="center"/>
            </w:pPr>
            <w:r w:rsidRPr="00DB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46C87" w:rsidRPr="00885CD3" w:rsidTr="0077770F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</w:t>
            </w:r>
            <w:r w:rsidR="0077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кількість платників єди</w:t>
            </w: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ного податку</w:t>
            </w:r>
            <w:r w:rsidR="0077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чол.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CA3EC4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</w:t>
            </w:r>
          </w:p>
        </w:tc>
        <w:tc>
          <w:tcPr>
            <w:tcW w:w="1701" w:type="dxa"/>
            <w:shd w:val="clear" w:color="auto" w:fill="auto"/>
          </w:tcPr>
          <w:p w:rsidR="00146C87" w:rsidRPr="00885CD3" w:rsidRDefault="00CA3EC4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19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CA3EC4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</w:t>
            </w:r>
          </w:p>
        </w:tc>
      </w:tr>
      <w:tr w:rsidR="00146C87" w:rsidRPr="00885CD3" w:rsidTr="0077770F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146C87" w:rsidRPr="00885CD3" w:rsidTr="0077770F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146C87" w:rsidP="0077770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Надходженн</w:t>
            </w:r>
            <w:r w:rsidR="0065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до місцевого бюджету єди</w:t>
            </w:r>
            <w:r w:rsidRPr="0088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ного податку (тис.грн.)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654AA2" w:rsidP="0077770F">
            <w:pPr>
              <w:contextualSpacing/>
              <w:jc w:val="center"/>
              <w:rPr>
                <w:rFonts w:ascii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0"/>
                <w:lang w:val="uk-UA" w:eastAsia="uk-UA"/>
              </w:rPr>
              <w:t>1500,500</w:t>
            </w:r>
          </w:p>
        </w:tc>
        <w:tc>
          <w:tcPr>
            <w:tcW w:w="1701" w:type="dxa"/>
            <w:shd w:val="clear" w:color="auto" w:fill="auto"/>
          </w:tcPr>
          <w:p w:rsidR="00146C87" w:rsidRPr="00885CD3" w:rsidRDefault="00654AA2" w:rsidP="0077770F">
            <w:pPr>
              <w:contextualSpacing/>
              <w:jc w:val="center"/>
              <w:rPr>
                <w:rFonts w:ascii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0"/>
                <w:lang w:val="uk-UA" w:eastAsia="uk-UA"/>
              </w:rPr>
              <w:t>3319,015</w:t>
            </w:r>
          </w:p>
        </w:tc>
        <w:tc>
          <w:tcPr>
            <w:tcW w:w="19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C87" w:rsidRPr="00885CD3" w:rsidRDefault="00654AA2" w:rsidP="0077770F">
            <w:pPr>
              <w:contextualSpacing/>
              <w:jc w:val="center"/>
              <w:rPr>
                <w:rFonts w:ascii="Times New Roman" w:hAnsi="Times New Roman" w:cs="Times New Roman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Cs w:val="20"/>
                <w:lang w:val="uk-UA" w:eastAsia="uk-UA"/>
              </w:rPr>
              <w:t>2527,649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D08" w:rsidRPr="001D02AE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результатів реалізації регуляторного акта та ступеня досягнення визначених цілей: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Регуляторний акт має певний ступінь досягнення визначених цілей та направлений на врегулювання відносин між суб’єктами господарської діяльності, органами місцевого самоврядування та Державними фіскальними органами</w:t>
      </w:r>
      <w:r w:rsidR="001D02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F1719" w:rsidRPr="00782492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Висновки та рекомендації: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 даного регуляторного акту забезпечить впорядкування сплати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єдиного податку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території </w:t>
      </w:r>
      <w:r w:rsidR="00F8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Кам</w:t>
      </w:r>
      <w:r w:rsidR="00F8677F" w:rsidRPr="00F8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="00F8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янсько-Дніпров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ської ОТГ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діяльності».</w:t>
      </w:r>
    </w:p>
    <w:p w:rsidR="004F1719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54AA2" w:rsidRPr="00654AA2" w:rsidRDefault="00654AA2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F1719" w:rsidRDefault="00F8677F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 відділу економічного </w:t>
      </w:r>
    </w:p>
    <w:p w:rsidR="00F8677F" w:rsidRPr="00F8677F" w:rsidRDefault="00F8677F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розвитку, інфраструктури та інвестицій                                            Г.А. Шевердяєва</w:t>
      </w:r>
    </w:p>
    <w:p w:rsidR="004F1719" w:rsidRPr="000246DA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719" w:rsidRDefault="00F8677F" w:rsidP="004F17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D4797" w:rsidRPr="004F1719" w:rsidRDefault="00AD4797" w:rsidP="004F1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4797" w:rsidRPr="004F1719" w:rsidSect="00C27D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3D" w:rsidRDefault="00DB353D" w:rsidP="00146C87">
      <w:pPr>
        <w:spacing w:after="0" w:line="240" w:lineRule="auto"/>
      </w:pPr>
      <w:r>
        <w:separator/>
      </w:r>
    </w:p>
  </w:endnote>
  <w:endnote w:type="continuationSeparator" w:id="1">
    <w:p w:rsidR="00DB353D" w:rsidRDefault="00DB353D" w:rsidP="001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3D" w:rsidRDefault="00DB353D" w:rsidP="00146C87">
      <w:pPr>
        <w:spacing w:after="0" w:line="240" w:lineRule="auto"/>
      </w:pPr>
      <w:r>
        <w:separator/>
      </w:r>
    </w:p>
  </w:footnote>
  <w:footnote w:type="continuationSeparator" w:id="1">
    <w:p w:rsidR="00DB353D" w:rsidRDefault="00DB353D" w:rsidP="0014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75"/>
    <w:rsid w:val="00006B00"/>
    <w:rsid w:val="000242D5"/>
    <w:rsid w:val="00050204"/>
    <w:rsid w:val="00075320"/>
    <w:rsid w:val="00146C87"/>
    <w:rsid w:val="00190DB1"/>
    <w:rsid w:val="001D02AE"/>
    <w:rsid w:val="001F115A"/>
    <w:rsid w:val="001F13FE"/>
    <w:rsid w:val="00252495"/>
    <w:rsid w:val="00263D32"/>
    <w:rsid w:val="002D4E97"/>
    <w:rsid w:val="002E394A"/>
    <w:rsid w:val="00300CB2"/>
    <w:rsid w:val="003414D0"/>
    <w:rsid w:val="003813F7"/>
    <w:rsid w:val="00410B4E"/>
    <w:rsid w:val="0042229E"/>
    <w:rsid w:val="0043165C"/>
    <w:rsid w:val="00485AA0"/>
    <w:rsid w:val="004A0C8F"/>
    <w:rsid w:val="004E1BD6"/>
    <w:rsid w:val="004F1719"/>
    <w:rsid w:val="006445D3"/>
    <w:rsid w:val="00654AA2"/>
    <w:rsid w:val="00666281"/>
    <w:rsid w:val="00680B1B"/>
    <w:rsid w:val="00697974"/>
    <w:rsid w:val="006E2E24"/>
    <w:rsid w:val="0077295D"/>
    <w:rsid w:val="0077770F"/>
    <w:rsid w:val="00793768"/>
    <w:rsid w:val="007D4D08"/>
    <w:rsid w:val="007D5702"/>
    <w:rsid w:val="007F04B2"/>
    <w:rsid w:val="00861CC3"/>
    <w:rsid w:val="009508E7"/>
    <w:rsid w:val="009B38CF"/>
    <w:rsid w:val="009C15C3"/>
    <w:rsid w:val="00A30993"/>
    <w:rsid w:val="00A41143"/>
    <w:rsid w:val="00A57795"/>
    <w:rsid w:val="00A76CCD"/>
    <w:rsid w:val="00AC1854"/>
    <w:rsid w:val="00AD4797"/>
    <w:rsid w:val="00B72678"/>
    <w:rsid w:val="00BC0999"/>
    <w:rsid w:val="00C27D9F"/>
    <w:rsid w:val="00C866E4"/>
    <w:rsid w:val="00CA3EC4"/>
    <w:rsid w:val="00CF631E"/>
    <w:rsid w:val="00D737B4"/>
    <w:rsid w:val="00DA084B"/>
    <w:rsid w:val="00DB353D"/>
    <w:rsid w:val="00DC4175"/>
    <w:rsid w:val="00DD7B34"/>
    <w:rsid w:val="00E1579A"/>
    <w:rsid w:val="00EF20A5"/>
    <w:rsid w:val="00F703AA"/>
    <w:rsid w:val="00F8677F"/>
    <w:rsid w:val="00F91EBD"/>
    <w:rsid w:val="00F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74"/>
    <w:pPr>
      <w:ind w:left="720"/>
      <w:contextualSpacing/>
    </w:pPr>
  </w:style>
  <w:style w:type="table" w:styleId="a6">
    <w:name w:val="Table Grid"/>
    <w:basedOn w:val="a1"/>
    <w:uiPriority w:val="59"/>
    <w:rsid w:val="009C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4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C87"/>
  </w:style>
  <w:style w:type="paragraph" w:styleId="ab">
    <w:name w:val="footer"/>
    <w:basedOn w:val="a"/>
    <w:link w:val="ac"/>
    <w:uiPriority w:val="99"/>
    <w:semiHidden/>
    <w:unhideWhenUsed/>
    <w:rsid w:val="0014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90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19</cp:revision>
  <cp:lastPrinted>2018-04-23T11:58:00Z</cp:lastPrinted>
  <dcterms:created xsi:type="dcterms:W3CDTF">2018-05-15T11:58:00Z</dcterms:created>
  <dcterms:modified xsi:type="dcterms:W3CDTF">2018-05-31T09:13:00Z</dcterms:modified>
</cp:coreProperties>
</file>